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24 בספטמבר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כ"א באלול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4700-1039-2024-007179</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A6DF3" w:rsidRPr="000E0440" w:rsidRDefault="00EA6DF3" w:rsidP="00166538">
      <w:pPr>
        <w:spacing w:after="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sidR="000E0440">
        <w:rPr>
          <w:rFonts w:ascii="FrankRuehl" w:hAnsi="FrankRuehl" w:cs="FrankRuehl" w:hint="cs"/>
          <w:b/>
          <w:bCs/>
          <w:color w:val="002060"/>
          <w:sz w:val="32"/>
          <w:szCs w:val="32"/>
          <w:u w:val="single"/>
          <w:rtl/>
        </w:rPr>
        <w:t xml:space="preserve">גזר-דין תפח"ע 4070-01-23 - </w:t>
      </w:r>
      <w:r w:rsidR="000E0440">
        <w:rPr>
          <w:rFonts w:ascii="FrankRuehl" w:hAnsi="FrankRuehl" w:cs="FrankRuehl" w:hint="cs"/>
          <w:b/>
          <w:bCs/>
          <w:color w:val="002060"/>
          <w:sz w:val="32"/>
          <w:szCs w:val="32"/>
          <w:rtl/>
        </w:rPr>
        <w:t>מדינת ישראל נגד פלוני</w:t>
      </w:r>
    </w:p>
    <w:p w:rsidR="00EA6DF3" w:rsidRDefault="00EA6DF3" w:rsidP="00166538">
      <w:pPr>
        <w:spacing w:after="0"/>
        <w:jc w:val="center"/>
        <w:rPr>
          <w:rFonts w:ascii="FrankRuehl" w:hAnsi="FrankRuehl" w:cs="FrankRuehl"/>
          <w:b/>
          <w:bCs/>
          <w:color w:val="002060"/>
          <w:sz w:val="32"/>
          <w:szCs w:val="32"/>
          <w:rtl/>
        </w:rPr>
      </w:pPr>
      <w:r w:rsidRPr="000071E5">
        <w:rPr>
          <w:rFonts w:ascii="FrankRuehl" w:hAnsi="FrankRuehl" w:cs="FrankRuehl" w:hint="cs"/>
          <w:b/>
          <w:bCs/>
          <w:color w:val="002060"/>
          <w:sz w:val="32"/>
          <w:szCs w:val="32"/>
          <w:rtl/>
        </w:rPr>
        <w:t xml:space="preserve"> הרכב שופטים אב"ד </w:t>
      </w:r>
      <w:r w:rsidR="000E0440">
        <w:rPr>
          <w:rFonts w:ascii="FrankRuehl" w:hAnsi="FrankRuehl" w:cs="FrankRuehl" w:hint="cs"/>
          <w:b/>
          <w:bCs/>
          <w:color w:val="002060"/>
          <w:sz w:val="32"/>
          <w:szCs w:val="32"/>
          <w:rtl/>
        </w:rPr>
        <w:t>השופט חגי טרסי, השופט עידו דרויאן גמליאל, השופטת הדס רוזנברג שיינרט</w:t>
      </w:r>
      <w:r w:rsidRPr="000071E5">
        <w:rPr>
          <w:rFonts w:ascii="FrankRuehl" w:hAnsi="FrankRuehl" w:cs="FrankRuehl" w:hint="cs"/>
          <w:b/>
          <w:bCs/>
          <w:color w:val="002060"/>
          <w:sz w:val="32"/>
          <w:szCs w:val="32"/>
          <w:rtl/>
        </w:rPr>
        <w:t xml:space="preserve"> </w:t>
      </w:r>
    </w:p>
    <w:p w:rsidR="000E0440" w:rsidRPr="000071E5" w:rsidRDefault="000E0440" w:rsidP="00166538">
      <w:pPr>
        <w:spacing w:after="120" w:line="276" w:lineRule="auto"/>
        <w:jc w:val="center"/>
        <w:rPr>
          <w:rFonts w:ascii="FrankRuehl" w:hAnsi="FrankRuehl" w:cs="FrankRuehl"/>
          <w:b/>
          <w:bCs/>
          <w:color w:val="002060"/>
          <w:sz w:val="32"/>
          <w:szCs w:val="32"/>
          <w:rtl/>
        </w:rPr>
      </w:pPr>
    </w:p>
    <w:p w:rsidR="000E0440" w:rsidRDefault="000E0440" w:rsidP="00166538">
      <w:pPr>
        <w:spacing w:after="0" w:line="360" w:lineRule="auto"/>
        <w:jc w:val="both"/>
        <w:rPr>
          <w:rFonts w:ascii="David" w:hAnsi="David" w:cs="David"/>
          <w:sz w:val="24"/>
          <w:szCs w:val="24"/>
          <w:rtl/>
        </w:rPr>
      </w:pPr>
      <w:r>
        <w:rPr>
          <w:rFonts w:ascii="David" w:hAnsi="David" w:cs="David" w:hint="cs"/>
          <w:sz w:val="24"/>
          <w:szCs w:val="24"/>
          <w:rtl/>
        </w:rPr>
        <w:t>ביהמ"ש המחוזי מרכז-לוד (כב' הרכב השופטים חגי טרסי, עידו דרויאן-גמליאל והדס רוזנברג-שיינרט) גזר היום עונש של עשר וחצי שנות מאסר בפועל, מאסר מותנה ופיצוי בסך של 100,000 ₪ על נאשם שהיה קטין כבן 17 ותשעה חודשים בעת ביצוע העבירות, שהורשע בני</w:t>
      </w:r>
      <w:r w:rsidRPr="007344F2">
        <w:rPr>
          <w:rFonts w:ascii="David" w:hAnsi="David" w:cs="David" w:hint="cs"/>
          <w:sz w:val="24"/>
          <w:szCs w:val="24"/>
          <w:rtl/>
        </w:rPr>
        <w:t>סיון רצח, הסגת גבול, שיבוש מהלכי משפט, חבלה חמורה והחזקת סכין</w:t>
      </w:r>
      <w:r>
        <w:rPr>
          <w:rFonts w:ascii="David" w:hAnsi="David" w:cs="David" w:hint="cs"/>
          <w:sz w:val="24"/>
          <w:szCs w:val="24"/>
          <w:rtl/>
        </w:rPr>
        <w:t xml:space="preserve">. </w:t>
      </w:r>
      <w:r w:rsidRPr="007344F2">
        <w:rPr>
          <w:rFonts w:ascii="David" w:hAnsi="David" w:cs="David" w:hint="cs"/>
          <w:sz w:val="24"/>
          <w:szCs w:val="24"/>
          <w:rtl/>
        </w:rPr>
        <w:t xml:space="preserve"> </w:t>
      </w:r>
    </w:p>
    <w:p w:rsidR="00166538" w:rsidRDefault="00166538" w:rsidP="00166538">
      <w:pPr>
        <w:spacing w:after="0" w:line="360" w:lineRule="auto"/>
        <w:jc w:val="both"/>
        <w:rPr>
          <w:rFonts w:ascii="David" w:hAnsi="David" w:cs="David"/>
          <w:sz w:val="24"/>
          <w:szCs w:val="24"/>
          <w:rtl/>
        </w:rPr>
      </w:pPr>
    </w:p>
    <w:p w:rsidR="000E0440" w:rsidRDefault="000E0440" w:rsidP="00166538">
      <w:pPr>
        <w:spacing w:after="0" w:line="360" w:lineRule="auto"/>
        <w:jc w:val="both"/>
        <w:rPr>
          <w:rFonts w:ascii="David" w:hAnsi="David" w:cs="David"/>
          <w:sz w:val="24"/>
          <w:szCs w:val="24"/>
          <w:rtl/>
        </w:rPr>
      </w:pPr>
      <w:r>
        <w:rPr>
          <w:rFonts w:ascii="David" w:hAnsi="David" w:cs="David" w:hint="cs"/>
          <w:sz w:val="24"/>
          <w:szCs w:val="24"/>
          <w:rtl/>
        </w:rPr>
        <w:lastRenderedPageBreak/>
        <w:t xml:space="preserve">על פי כתב האישום, הנאשם החליט לגרום למותו של קורבן העבירה, קטין כבן 15.5 שלמד </w:t>
      </w:r>
      <w:r w:rsidRPr="007344F2">
        <w:rPr>
          <w:rFonts w:ascii="David" w:hAnsi="David" w:cs="David" w:hint="cs"/>
          <w:sz w:val="24"/>
          <w:szCs w:val="24"/>
          <w:rtl/>
        </w:rPr>
        <w:t>בביה"ס ב</w:t>
      </w:r>
      <w:r>
        <w:rPr>
          <w:rFonts w:ascii="David" w:hAnsi="David" w:cs="David" w:hint="cs"/>
          <w:sz w:val="24"/>
          <w:szCs w:val="24"/>
          <w:rtl/>
        </w:rPr>
        <w:t>עיר במרכז הארץ</w:t>
      </w:r>
      <w:r w:rsidRPr="007344F2">
        <w:rPr>
          <w:rFonts w:ascii="David" w:hAnsi="David" w:cs="David" w:hint="cs"/>
          <w:sz w:val="24"/>
          <w:szCs w:val="24"/>
          <w:rtl/>
        </w:rPr>
        <w:t xml:space="preserve">. </w:t>
      </w:r>
    </w:p>
    <w:p w:rsidR="000E0440" w:rsidRDefault="000E0440" w:rsidP="00166538">
      <w:pPr>
        <w:spacing w:after="0" w:line="360" w:lineRule="auto"/>
        <w:jc w:val="both"/>
        <w:rPr>
          <w:rFonts w:ascii="David" w:hAnsi="David" w:cs="David"/>
          <w:sz w:val="24"/>
          <w:szCs w:val="24"/>
          <w:rtl/>
        </w:rPr>
      </w:pPr>
      <w:r w:rsidRPr="007344F2">
        <w:rPr>
          <w:rFonts w:ascii="David" w:hAnsi="David" w:cs="David" w:hint="cs"/>
          <w:sz w:val="24"/>
          <w:szCs w:val="24"/>
          <w:rtl/>
        </w:rPr>
        <w:t xml:space="preserve">בתאריך 13.12.22 בשעה 10:00 או בסמוך לכך, </w:t>
      </w:r>
      <w:r>
        <w:rPr>
          <w:rFonts w:ascii="David" w:hAnsi="David" w:cs="David" w:hint="cs"/>
          <w:sz w:val="24"/>
          <w:szCs w:val="24"/>
          <w:rtl/>
        </w:rPr>
        <w:t xml:space="preserve">הצטייד הנאשם </w:t>
      </w:r>
      <w:r w:rsidRPr="007344F2">
        <w:rPr>
          <w:rFonts w:ascii="David" w:hAnsi="David" w:cs="David" w:hint="cs"/>
          <w:sz w:val="24"/>
          <w:szCs w:val="24"/>
          <w:rtl/>
        </w:rPr>
        <w:t>בפריטי לבוש שיסייעו ל</w:t>
      </w:r>
      <w:r>
        <w:rPr>
          <w:rFonts w:ascii="David" w:hAnsi="David" w:cs="David" w:hint="cs"/>
          <w:sz w:val="24"/>
          <w:szCs w:val="24"/>
          <w:rtl/>
        </w:rPr>
        <w:t>ו</w:t>
      </w:r>
      <w:r w:rsidRPr="007344F2">
        <w:rPr>
          <w:rFonts w:ascii="David" w:hAnsi="David" w:cs="David" w:hint="cs"/>
          <w:sz w:val="24"/>
          <w:szCs w:val="24"/>
          <w:rtl/>
        </w:rPr>
        <w:t xml:space="preserve"> להסוות את זהות</w:t>
      </w:r>
      <w:r>
        <w:rPr>
          <w:rFonts w:ascii="David" w:hAnsi="David" w:cs="David" w:hint="cs"/>
          <w:sz w:val="24"/>
          <w:szCs w:val="24"/>
          <w:rtl/>
        </w:rPr>
        <w:t xml:space="preserve">ו ובסכין מתקפלת. מעורב נוסף שהיה עמו, וחפץ לחבול בקורבן חבלה חמורה </w:t>
      </w:r>
      <w:r w:rsidRPr="007344F2">
        <w:rPr>
          <w:rFonts w:ascii="David" w:hAnsi="David" w:cs="David" w:hint="cs"/>
          <w:sz w:val="24"/>
          <w:szCs w:val="24"/>
          <w:rtl/>
        </w:rPr>
        <w:t>נשא בידיו אבן.</w:t>
      </w:r>
      <w:r>
        <w:rPr>
          <w:rFonts w:ascii="David" w:hAnsi="David" w:cs="David" w:hint="cs"/>
          <w:sz w:val="24"/>
          <w:szCs w:val="24"/>
          <w:rtl/>
        </w:rPr>
        <w:t xml:space="preserve"> השניים הגיעו לבית הספר בו למד קורבן העבירה, </w:t>
      </w:r>
      <w:r w:rsidRPr="007344F2">
        <w:rPr>
          <w:rFonts w:ascii="David" w:hAnsi="David" w:cs="David" w:hint="cs"/>
          <w:sz w:val="24"/>
          <w:szCs w:val="24"/>
          <w:rtl/>
        </w:rPr>
        <w:t xml:space="preserve">קפצו מעל לגדר ופרצו בריצה לתוך החצר בה שהו </w:t>
      </w:r>
      <w:r>
        <w:rPr>
          <w:rFonts w:ascii="David" w:hAnsi="David" w:cs="David" w:hint="cs"/>
          <w:sz w:val="24"/>
          <w:szCs w:val="24"/>
          <w:rtl/>
        </w:rPr>
        <w:t xml:space="preserve">הקורבן וקטינים </w:t>
      </w:r>
      <w:r w:rsidRPr="007344F2">
        <w:rPr>
          <w:rFonts w:ascii="David" w:hAnsi="David" w:cs="David" w:hint="cs"/>
          <w:sz w:val="24"/>
          <w:szCs w:val="24"/>
          <w:rtl/>
        </w:rPr>
        <w:t>אחרים.</w:t>
      </w:r>
      <w:r>
        <w:rPr>
          <w:rFonts w:ascii="David" w:hAnsi="David" w:cs="David" w:hint="cs"/>
          <w:sz w:val="24"/>
          <w:szCs w:val="24"/>
          <w:rtl/>
        </w:rPr>
        <w:t xml:space="preserve"> משהבחין הקורבן בנאשמים </w:t>
      </w:r>
      <w:r w:rsidRPr="007344F2">
        <w:rPr>
          <w:rFonts w:ascii="David" w:hAnsi="David" w:cs="David" w:hint="cs"/>
          <w:sz w:val="24"/>
          <w:szCs w:val="24"/>
          <w:rtl/>
        </w:rPr>
        <w:t xml:space="preserve">נמלט בריצה אל תוך מבנה ביה"ס </w:t>
      </w:r>
      <w:r>
        <w:rPr>
          <w:rFonts w:ascii="David" w:hAnsi="David" w:cs="David" w:hint="cs"/>
          <w:sz w:val="24"/>
          <w:szCs w:val="24"/>
          <w:rtl/>
        </w:rPr>
        <w:t>ו</w:t>
      </w:r>
      <w:r w:rsidRPr="007344F2">
        <w:rPr>
          <w:rFonts w:ascii="David" w:hAnsi="David" w:cs="David" w:hint="cs"/>
          <w:sz w:val="24"/>
          <w:szCs w:val="24"/>
          <w:rtl/>
        </w:rPr>
        <w:t xml:space="preserve">עלה בריצה אל חדר </w:t>
      </w:r>
      <w:r>
        <w:rPr>
          <w:rFonts w:ascii="David" w:hAnsi="David" w:cs="David" w:hint="cs"/>
          <w:sz w:val="24"/>
          <w:szCs w:val="24"/>
          <w:rtl/>
        </w:rPr>
        <w:t>ה</w:t>
      </w:r>
      <w:r w:rsidRPr="007344F2">
        <w:rPr>
          <w:rFonts w:ascii="David" w:hAnsi="David" w:cs="David" w:hint="cs"/>
          <w:sz w:val="24"/>
          <w:szCs w:val="24"/>
          <w:rtl/>
        </w:rPr>
        <w:t xml:space="preserve">מנהל </w:t>
      </w:r>
      <w:r>
        <w:rPr>
          <w:rFonts w:ascii="David" w:hAnsi="David" w:cs="David" w:hint="cs"/>
          <w:sz w:val="24"/>
          <w:szCs w:val="24"/>
          <w:rtl/>
        </w:rPr>
        <w:t xml:space="preserve">בקומה העליונה. הנאשם רדף אחר הקורבן, נכנס לחדר המנהל, </w:t>
      </w:r>
      <w:r w:rsidRPr="007344F2">
        <w:rPr>
          <w:rFonts w:ascii="David" w:hAnsi="David" w:cs="David" w:hint="cs"/>
          <w:sz w:val="24"/>
          <w:szCs w:val="24"/>
          <w:rtl/>
        </w:rPr>
        <w:t>תקף את</w:t>
      </w:r>
      <w:r>
        <w:rPr>
          <w:rFonts w:ascii="David" w:hAnsi="David" w:cs="David" w:hint="cs"/>
          <w:sz w:val="24"/>
          <w:szCs w:val="24"/>
          <w:rtl/>
        </w:rPr>
        <w:t xml:space="preserve"> הקורבן</w:t>
      </w:r>
      <w:r w:rsidRPr="007344F2">
        <w:rPr>
          <w:rFonts w:ascii="David" w:hAnsi="David" w:cs="David" w:hint="cs"/>
          <w:sz w:val="24"/>
          <w:szCs w:val="24"/>
          <w:rtl/>
        </w:rPr>
        <w:t xml:space="preserve"> באגרופיו ודקר אותו מספר פעמים, בפלג גופו העליון ובראשו. </w:t>
      </w:r>
      <w:r>
        <w:rPr>
          <w:rFonts w:ascii="David" w:hAnsi="David" w:cs="David" w:hint="cs"/>
          <w:sz w:val="24"/>
          <w:szCs w:val="24"/>
          <w:rtl/>
        </w:rPr>
        <w:t xml:space="preserve">לאחר דקירת הקורבן נמלטו הנאשמים מן המקום ועשו מעשים לשם שיבוש החקירה. </w:t>
      </w:r>
      <w:r w:rsidRPr="007344F2">
        <w:rPr>
          <w:rFonts w:ascii="David" w:hAnsi="David" w:cs="David" w:hint="cs"/>
          <w:sz w:val="24"/>
          <w:szCs w:val="24"/>
          <w:rtl/>
        </w:rPr>
        <w:t xml:space="preserve">כתוצאה ממעשי </w:t>
      </w:r>
      <w:r>
        <w:rPr>
          <w:rFonts w:ascii="David" w:hAnsi="David" w:cs="David" w:hint="cs"/>
          <w:sz w:val="24"/>
          <w:szCs w:val="24"/>
          <w:rtl/>
        </w:rPr>
        <w:t>ה</w:t>
      </w:r>
      <w:r w:rsidRPr="007344F2">
        <w:rPr>
          <w:rFonts w:ascii="David" w:hAnsi="David" w:cs="David" w:hint="cs"/>
          <w:sz w:val="24"/>
          <w:szCs w:val="24"/>
          <w:rtl/>
        </w:rPr>
        <w:t xml:space="preserve">נאשם איבד </w:t>
      </w:r>
      <w:r>
        <w:rPr>
          <w:rFonts w:ascii="David" w:hAnsi="David" w:cs="David" w:hint="cs"/>
          <w:sz w:val="24"/>
          <w:szCs w:val="24"/>
          <w:rtl/>
        </w:rPr>
        <w:t xml:space="preserve">הקורבן </w:t>
      </w:r>
      <w:r w:rsidRPr="007344F2">
        <w:rPr>
          <w:rFonts w:ascii="David" w:hAnsi="David" w:cs="David" w:hint="cs"/>
          <w:sz w:val="24"/>
          <w:szCs w:val="24"/>
          <w:rtl/>
        </w:rPr>
        <w:t xml:space="preserve">את הכרתו </w:t>
      </w:r>
      <w:r>
        <w:rPr>
          <w:rFonts w:ascii="David" w:hAnsi="David" w:cs="David" w:hint="cs"/>
          <w:sz w:val="24"/>
          <w:szCs w:val="24"/>
          <w:rtl/>
        </w:rPr>
        <w:t>והובהל במצב קשה לבית החולים.</w:t>
      </w:r>
    </w:p>
    <w:p w:rsidR="00166538" w:rsidRDefault="00166538" w:rsidP="00166538">
      <w:pPr>
        <w:spacing w:after="0" w:line="360" w:lineRule="auto"/>
        <w:jc w:val="both"/>
        <w:rPr>
          <w:rFonts w:ascii="David" w:hAnsi="David" w:cs="David"/>
          <w:sz w:val="24"/>
          <w:szCs w:val="24"/>
          <w:rtl/>
        </w:rPr>
      </w:pPr>
    </w:p>
    <w:p w:rsidR="000E0440" w:rsidRDefault="000E0440" w:rsidP="00166538">
      <w:pPr>
        <w:spacing w:after="0" w:line="360" w:lineRule="auto"/>
        <w:jc w:val="both"/>
        <w:rPr>
          <w:rFonts w:ascii="David" w:hAnsi="David" w:cs="David"/>
          <w:sz w:val="24"/>
          <w:szCs w:val="24"/>
          <w:rtl/>
        </w:rPr>
      </w:pPr>
      <w:r>
        <w:rPr>
          <w:rFonts w:ascii="David" w:hAnsi="David" w:cs="David" w:hint="cs"/>
          <w:sz w:val="24"/>
          <w:szCs w:val="24"/>
          <w:rtl/>
        </w:rPr>
        <w:lastRenderedPageBreak/>
        <w:t>הקטין הקורבן נותר נכה בדרגה של 100% ו</w:t>
      </w:r>
      <w:r w:rsidRPr="007344F2">
        <w:rPr>
          <w:rFonts w:ascii="David" w:hAnsi="David" w:cs="David" w:hint="cs"/>
          <w:sz w:val="24"/>
          <w:szCs w:val="24"/>
          <w:rtl/>
        </w:rPr>
        <w:t xml:space="preserve">גם כיום </w:t>
      </w:r>
      <w:r>
        <w:rPr>
          <w:rFonts w:ascii="David" w:hAnsi="David" w:cs="David" w:hint="cs"/>
          <w:sz w:val="24"/>
          <w:szCs w:val="24"/>
          <w:rtl/>
        </w:rPr>
        <w:t xml:space="preserve">הוא </w:t>
      </w:r>
      <w:r w:rsidRPr="007344F2">
        <w:rPr>
          <w:rFonts w:ascii="David" w:hAnsi="David" w:cs="David" w:hint="cs"/>
          <w:sz w:val="24"/>
          <w:szCs w:val="24"/>
          <w:rtl/>
        </w:rPr>
        <w:t>סובל מהשלכות פציעתו, נותר עם צלקות גופניות ונפשיות ונאלץ להקדיש שעות לטיפולים שונים</w:t>
      </w:r>
      <w:r>
        <w:rPr>
          <w:rFonts w:ascii="David" w:hAnsi="David" w:cs="David" w:hint="cs"/>
          <w:sz w:val="24"/>
          <w:szCs w:val="24"/>
          <w:rtl/>
        </w:rPr>
        <w:t xml:space="preserve">. ביהמ"ש התייחס בגזר הדין אף לכך שחיי משפחת הקורבן כולה עברו טלטלה קשה והשתנו לבלי הכר. </w:t>
      </w:r>
    </w:p>
    <w:p w:rsidR="00166538" w:rsidRDefault="00166538" w:rsidP="00166538">
      <w:pPr>
        <w:spacing w:after="0" w:line="360" w:lineRule="auto"/>
        <w:jc w:val="both"/>
        <w:rPr>
          <w:rFonts w:ascii="David" w:hAnsi="David" w:cs="David"/>
          <w:sz w:val="24"/>
          <w:szCs w:val="24"/>
          <w:rtl/>
        </w:rPr>
      </w:pPr>
    </w:p>
    <w:p w:rsidR="00166538" w:rsidRDefault="000E0440" w:rsidP="00166538">
      <w:pPr>
        <w:spacing w:after="0" w:line="360" w:lineRule="auto"/>
        <w:jc w:val="both"/>
        <w:rPr>
          <w:rFonts w:ascii="David" w:hAnsi="David" w:cs="David"/>
          <w:sz w:val="24"/>
          <w:szCs w:val="24"/>
          <w:rtl/>
        </w:rPr>
      </w:pPr>
      <w:r w:rsidRPr="00B67525">
        <w:rPr>
          <w:rFonts w:ascii="David" w:hAnsi="David" w:cs="David" w:hint="cs"/>
          <w:sz w:val="24"/>
          <w:szCs w:val="24"/>
          <w:rtl/>
        </w:rPr>
        <w:t xml:space="preserve">בגזר הדין </w:t>
      </w:r>
      <w:r>
        <w:rPr>
          <w:rFonts w:ascii="David" w:hAnsi="David" w:cs="David" w:hint="cs"/>
          <w:sz w:val="24"/>
          <w:szCs w:val="24"/>
          <w:rtl/>
        </w:rPr>
        <w:t xml:space="preserve">קבע ביהמ"ש כי מעשיו של הנאשם </w:t>
      </w:r>
      <w:bookmarkStart w:id="1" w:name="Rov1071"/>
      <w:r w:rsidRPr="007344F2">
        <w:rPr>
          <w:rFonts w:ascii="David" w:hAnsi="David" w:cs="David" w:hint="cs"/>
          <w:sz w:val="24"/>
          <w:szCs w:val="24"/>
          <w:rtl/>
        </w:rPr>
        <w:t xml:space="preserve">קשים, אכזריים ומזעזעים </w:t>
      </w:r>
      <w:r>
        <w:rPr>
          <w:rFonts w:ascii="David" w:hAnsi="David" w:cs="David" w:hint="cs"/>
          <w:sz w:val="24"/>
          <w:szCs w:val="24"/>
          <w:rtl/>
        </w:rPr>
        <w:t>ו</w:t>
      </w:r>
      <w:r w:rsidRPr="007344F2">
        <w:rPr>
          <w:rFonts w:ascii="David" w:hAnsi="David" w:cs="David" w:hint="cs"/>
          <w:sz w:val="24"/>
          <w:szCs w:val="24"/>
          <w:rtl/>
        </w:rPr>
        <w:t>יש בהם כדי לגלם את התגשמות הסיוט של כל הורה, השולח את ילדו לבית הספר מתוך אמונה ותקווה כי מדובר במקום מוגן ובטוח עבורו.</w:t>
      </w:r>
      <w:r>
        <w:rPr>
          <w:rFonts w:ascii="David" w:hAnsi="David" w:cs="David" w:hint="cs"/>
          <w:sz w:val="24"/>
          <w:szCs w:val="24"/>
          <w:rtl/>
        </w:rPr>
        <w:t xml:space="preserve"> נסקרו היבטי החומרה במעשיו של הנאשם, לרבות העובדה ש</w:t>
      </w:r>
      <w:r w:rsidRPr="007344F2">
        <w:rPr>
          <w:rFonts w:ascii="David" w:hAnsi="David" w:cs="David" w:hint="cs"/>
          <w:sz w:val="24"/>
          <w:szCs w:val="24"/>
          <w:rtl/>
        </w:rPr>
        <w:t>הנאשם החל</w:t>
      </w:r>
      <w:r>
        <w:rPr>
          <w:rFonts w:ascii="David" w:hAnsi="David" w:cs="David" w:hint="cs"/>
          <w:sz w:val="24"/>
          <w:szCs w:val="24"/>
          <w:rtl/>
        </w:rPr>
        <w:t>י</w:t>
      </w:r>
      <w:r w:rsidRPr="007344F2">
        <w:rPr>
          <w:rFonts w:ascii="David" w:hAnsi="David" w:cs="David" w:hint="cs"/>
          <w:sz w:val="24"/>
          <w:szCs w:val="24"/>
          <w:rtl/>
        </w:rPr>
        <w:t xml:space="preserve">ט לרצוח ילד </w:t>
      </w:r>
      <w:r>
        <w:rPr>
          <w:rFonts w:ascii="David" w:hAnsi="David" w:cs="David" w:hint="cs"/>
          <w:sz w:val="24"/>
          <w:szCs w:val="24"/>
          <w:rtl/>
        </w:rPr>
        <w:t>כ</w:t>
      </w:r>
      <w:r w:rsidRPr="007344F2">
        <w:rPr>
          <w:rFonts w:ascii="David" w:hAnsi="David" w:cs="David" w:hint="cs"/>
          <w:sz w:val="24"/>
          <w:szCs w:val="24"/>
          <w:rtl/>
        </w:rPr>
        <w:t xml:space="preserve">בן 15, עמו לא נפגש קודם לכן, בתוככי בית ספר, בצהריי היום, </w:t>
      </w:r>
      <w:r>
        <w:rPr>
          <w:rFonts w:ascii="David" w:hAnsi="David" w:cs="David" w:hint="cs"/>
          <w:sz w:val="24"/>
          <w:szCs w:val="24"/>
          <w:rtl/>
        </w:rPr>
        <w:t>ללא כל התגרות תכופה מצד הקורבן ו</w:t>
      </w:r>
      <w:r w:rsidRPr="007344F2">
        <w:rPr>
          <w:rFonts w:ascii="David" w:hAnsi="David" w:cs="David" w:hint="cs"/>
          <w:sz w:val="24"/>
          <w:szCs w:val="24"/>
          <w:rtl/>
        </w:rPr>
        <w:t>מבלי שנוכחותם של קטינים ומבוגרים אחרים במקום מהווה שיקול מרתיע כלשהו.</w:t>
      </w:r>
      <w:r>
        <w:rPr>
          <w:rFonts w:ascii="David" w:hAnsi="David" w:cs="David" w:hint="cs"/>
          <w:sz w:val="24"/>
          <w:szCs w:val="24"/>
          <w:rtl/>
        </w:rPr>
        <w:t xml:space="preserve"> </w:t>
      </w:r>
      <w:r w:rsidRPr="007344F2">
        <w:rPr>
          <w:rFonts w:ascii="David" w:hAnsi="David" w:cs="David" w:hint="cs"/>
          <w:sz w:val="24"/>
          <w:szCs w:val="24"/>
          <w:rtl/>
        </w:rPr>
        <w:t xml:space="preserve">הקטין נפגע העבירה, </w:t>
      </w:r>
      <w:r>
        <w:rPr>
          <w:rFonts w:ascii="David" w:hAnsi="David" w:cs="David" w:hint="cs"/>
          <w:sz w:val="24"/>
          <w:szCs w:val="24"/>
          <w:rtl/>
        </w:rPr>
        <w:t xml:space="preserve">אשר </w:t>
      </w:r>
      <w:r w:rsidRPr="007344F2">
        <w:rPr>
          <w:rFonts w:ascii="David" w:hAnsi="David" w:cs="David" w:hint="cs"/>
          <w:sz w:val="24"/>
          <w:szCs w:val="24"/>
          <w:rtl/>
        </w:rPr>
        <w:t>יצא את ביתו באותו יום רע ונמהר</w:t>
      </w:r>
      <w:r>
        <w:rPr>
          <w:rFonts w:ascii="David" w:hAnsi="David" w:cs="David" w:hint="cs"/>
          <w:sz w:val="24"/>
          <w:szCs w:val="24"/>
          <w:rtl/>
        </w:rPr>
        <w:t xml:space="preserve"> כשהוא</w:t>
      </w:r>
      <w:r w:rsidRPr="007344F2">
        <w:rPr>
          <w:rFonts w:ascii="David" w:hAnsi="David" w:cs="David" w:hint="cs"/>
          <w:sz w:val="24"/>
          <w:szCs w:val="24"/>
          <w:rtl/>
        </w:rPr>
        <w:t xml:space="preserve"> מלא חיים ושמח בחלקו, סיים אותו כשהוא מורדם, מונשם ומצוי בסכנת חיים מידית, בעקבות דקירתו האכזרית ע"י הנאשם. במשך ימים הטלטל </w:t>
      </w:r>
      <w:r>
        <w:rPr>
          <w:rFonts w:ascii="David" w:hAnsi="David" w:cs="David" w:hint="cs"/>
          <w:sz w:val="24"/>
          <w:szCs w:val="24"/>
          <w:rtl/>
        </w:rPr>
        <w:t xml:space="preserve">קורבן </w:t>
      </w:r>
      <w:r>
        <w:rPr>
          <w:rFonts w:ascii="David" w:hAnsi="David" w:cs="David" w:hint="cs"/>
          <w:sz w:val="24"/>
          <w:szCs w:val="24"/>
          <w:rtl/>
        </w:rPr>
        <w:lastRenderedPageBreak/>
        <w:t xml:space="preserve">העבירה </w:t>
      </w:r>
      <w:r w:rsidRPr="007344F2">
        <w:rPr>
          <w:rFonts w:ascii="David" w:hAnsi="David" w:cs="David" w:hint="cs"/>
          <w:sz w:val="24"/>
          <w:szCs w:val="24"/>
          <w:rtl/>
        </w:rPr>
        <w:t xml:space="preserve">בין חיים למוות כשהוריו </w:t>
      </w:r>
      <w:r>
        <w:rPr>
          <w:rFonts w:ascii="David" w:hAnsi="David" w:cs="David" w:hint="cs"/>
          <w:sz w:val="24"/>
          <w:szCs w:val="24"/>
          <w:rtl/>
        </w:rPr>
        <w:t>לא ידעו</w:t>
      </w:r>
      <w:r w:rsidRPr="007344F2">
        <w:rPr>
          <w:rFonts w:ascii="David" w:hAnsi="David" w:cs="David" w:hint="cs"/>
          <w:sz w:val="24"/>
          <w:szCs w:val="24"/>
          <w:rtl/>
        </w:rPr>
        <w:t xml:space="preserve"> אם ישרוד את הפגיעה בו ובאיזה אופן.</w:t>
      </w:r>
      <w:r>
        <w:rPr>
          <w:rFonts w:ascii="David" w:hAnsi="David" w:cs="David" w:hint="cs"/>
          <w:sz w:val="24"/>
          <w:szCs w:val="24"/>
          <w:rtl/>
        </w:rPr>
        <w:t xml:space="preserve"> </w:t>
      </w:r>
      <w:bookmarkEnd w:id="1"/>
    </w:p>
    <w:p w:rsidR="00166538" w:rsidRDefault="00166538" w:rsidP="00166538">
      <w:pPr>
        <w:spacing w:after="0" w:line="360" w:lineRule="auto"/>
        <w:jc w:val="both"/>
        <w:rPr>
          <w:rFonts w:ascii="David" w:hAnsi="David" w:cs="David"/>
          <w:sz w:val="24"/>
          <w:szCs w:val="24"/>
          <w:rtl/>
        </w:rPr>
      </w:pPr>
    </w:p>
    <w:p w:rsidR="00166538" w:rsidRDefault="00166538" w:rsidP="00166538">
      <w:pPr>
        <w:spacing w:after="0" w:line="360" w:lineRule="auto"/>
        <w:jc w:val="both"/>
        <w:rPr>
          <w:rFonts w:ascii="David" w:hAnsi="David" w:cs="David"/>
          <w:sz w:val="24"/>
          <w:szCs w:val="24"/>
          <w:rtl/>
        </w:rPr>
      </w:pPr>
    </w:p>
    <w:p w:rsidR="000E0440" w:rsidRPr="00B67525" w:rsidRDefault="000E0440" w:rsidP="00166538">
      <w:pPr>
        <w:spacing w:after="0" w:line="360" w:lineRule="auto"/>
        <w:jc w:val="both"/>
        <w:rPr>
          <w:rFonts w:ascii="David" w:hAnsi="David" w:cs="David"/>
          <w:sz w:val="24"/>
          <w:szCs w:val="24"/>
          <w:rtl/>
        </w:rPr>
      </w:pPr>
      <w:r>
        <w:rPr>
          <w:rFonts w:ascii="David" w:hAnsi="David" w:cs="David" w:hint="cs"/>
          <w:sz w:val="24"/>
          <w:szCs w:val="24"/>
          <w:rtl/>
        </w:rPr>
        <w:t xml:space="preserve">לאחר שקילת מכלול נתוניו האישיים של הנאשם ובהם </w:t>
      </w:r>
      <w:r w:rsidRPr="007344F2">
        <w:rPr>
          <w:rFonts w:ascii="David" w:hAnsi="David" w:cs="David" w:hint="cs"/>
          <w:sz w:val="24"/>
          <w:szCs w:val="24"/>
          <w:rtl/>
        </w:rPr>
        <w:t xml:space="preserve">המסוכנות הנשקפת </w:t>
      </w:r>
      <w:r>
        <w:rPr>
          <w:rFonts w:ascii="David" w:hAnsi="David" w:cs="David" w:hint="cs"/>
          <w:sz w:val="24"/>
          <w:szCs w:val="24"/>
          <w:rtl/>
        </w:rPr>
        <w:t>ממנו</w:t>
      </w:r>
      <w:r w:rsidRPr="007344F2">
        <w:rPr>
          <w:rFonts w:ascii="David" w:hAnsi="David" w:cs="David" w:hint="cs"/>
          <w:sz w:val="24"/>
          <w:szCs w:val="24"/>
          <w:rtl/>
        </w:rPr>
        <w:t xml:space="preserve">, גילו </w:t>
      </w:r>
      <w:r>
        <w:rPr>
          <w:rFonts w:ascii="David" w:hAnsi="David" w:cs="David" w:hint="cs"/>
          <w:sz w:val="24"/>
          <w:szCs w:val="24"/>
          <w:rtl/>
        </w:rPr>
        <w:t>ש</w:t>
      </w:r>
      <w:r w:rsidRPr="007344F2">
        <w:rPr>
          <w:rFonts w:ascii="David" w:hAnsi="David" w:cs="David" w:hint="cs"/>
          <w:sz w:val="24"/>
          <w:szCs w:val="24"/>
          <w:rtl/>
        </w:rPr>
        <w:t>היה על סף הבגירות</w:t>
      </w:r>
      <w:r>
        <w:rPr>
          <w:rFonts w:ascii="David" w:hAnsi="David" w:cs="David" w:hint="cs"/>
          <w:sz w:val="24"/>
          <w:szCs w:val="24"/>
          <w:rtl/>
        </w:rPr>
        <w:t xml:space="preserve"> בעת ביצוע המעשים</w:t>
      </w:r>
      <w:r w:rsidRPr="007344F2">
        <w:rPr>
          <w:rFonts w:ascii="David" w:hAnsi="David" w:cs="David" w:hint="cs"/>
          <w:sz w:val="24"/>
          <w:szCs w:val="24"/>
          <w:rtl/>
        </w:rPr>
        <w:t>, סירוב</w:t>
      </w:r>
      <w:r>
        <w:rPr>
          <w:rFonts w:ascii="David" w:hAnsi="David" w:cs="David" w:hint="cs"/>
          <w:sz w:val="24"/>
          <w:szCs w:val="24"/>
          <w:rtl/>
        </w:rPr>
        <w:t xml:space="preserve">ו </w:t>
      </w:r>
      <w:r w:rsidRPr="007344F2">
        <w:rPr>
          <w:rFonts w:ascii="David" w:hAnsi="David" w:cs="David" w:hint="cs"/>
          <w:sz w:val="24"/>
          <w:szCs w:val="24"/>
          <w:rtl/>
        </w:rPr>
        <w:t>להשתלב בטיפול ו</w:t>
      </w:r>
      <w:r>
        <w:rPr>
          <w:rFonts w:ascii="David" w:hAnsi="David" w:cs="David" w:hint="cs"/>
          <w:sz w:val="24"/>
          <w:szCs w:val="24"/>
          <w:rtl/>
        </w:rPr>
        <w:t>עמדת</w:t>
      </w:r>
      <w:r w:rsidRPr="007344F2">
        <w:rPr>
          <w:rFonts w:ascii="David" w:hAnsi="David" w:cs="David" w:hint="cs"/>
          <w:sz w:val="24"/>
          <w:szCs w:val="24"/>
          <w:rtl/>
        </w:rPr>
        <w:t xml:space="preserve"> שרות המבחן</w:t>
      </w:r>
      <w:r>
        <w:rPr>
          <w:rFonts w:ascii="David" w:hAnsi="David" w:cs="David" w:hint="cs"/>
          <w:sz w:val="24"/>
          <w:szCs w:val="24"/>
          <w:rtl/>
        </w:rPr>
        <w:t xml:space="preserve"> לגביו</w:t>
      </w:r>
      <w:r w:rsidRPr="007344F2">
        <w:rPr>
          <w:rFonts w:ascii="David" w:hAnsi="David" w:cs="David" w:hint="cs"/>
          <w:sz w:val="24"/>
          <w:szCs w:val="24"/>
          <w:rtl/>
        </w:rPr>
        <w:t>, מצא</w:t>
      </w:r>
      <w:r>
        <w:rPr>
          <w:rFonts w:ascii="David" w:hAnsi="David" w:cs="David" w:hint="cs"/>
          <w:sz w:val="24"/>
          <w:szCs w:val="24"/>
          <w:rtl/>
        </w:rPr>
        <w:t xml:space="preserve"> ביהמ"ש </w:t>
      </w:r>
      <w:r w:rsidRPr="007344F2">
        <w:rPr>
          <w:rFonts w:ascii="David" w:hAnsi="David" w:cs="David" w:hint="cs"/>
          <w:sz w:val="24"/>
          <w:szCs w:val="24"/>
          <w:rtl/>
        </w:rPr>
        <w:t>כי על שיקולי שיקומו של הנאשם לסגת מפני שיקולי הגמול, ההרתעה והמניעה</w:t>
      </w:r>
      <w:r>
        <w:rPr>
          <w:rFonts w:ascii="David" w:hAnsi="David" w:cs="David" w:hint="cs"/>
          <w:sz w:val="24"/>
          <w:szCs w:val="24"/>
          <w:rtl/>
        </w:rPr>
        <w:t xml:space="preserve">, תוך השתת עונש מאסר </w:t>
      </w:r>
      <w:r w:rsidRPr="007344F2">
        <w:rPr>
          <w:rFonts w:ascii="David" w:hAnsi="David" w:cs="David" w:hint="cs"/>
          <w:sz w:val="24"/>
          <w:szCs w:val="24"/>
          <w:rtl/>
        </w:rPr>
        <w:t>לתקופה משמעותית</w:t>
      </w:r>
      <w:r>
        <w:rPr>
          <w:rFonts w:ascii="David" w:hAnsi="David" w:cs="David" w:hint="cs"/>
          <w:sz w:val="24"/>
          <w:szCs w:val="24"/>
          <w:rtl/>
        </w:rPr>
        <w:t>. הובהר בגזר הדין</w:t>
      </w:r>
      <w:r w:rsidRPr="007344F2">
        <w:rPr>
          <w:rFonts w:ascii="David" w:hAnsi="David" w:cs="David"/>
          <w:sz w:val="24"/>
          <w:szCs w:val="24"/>
          <w:rtl/>
        </w:rPr>
        <w:t>,</w:t>
      </w:r>
      <w:r>
        <w:rPr>
          <w:rFonts w:ascii="David" w:hAnsi="David" w:cs="David" w:hint="cs"/>
          <w:sz w:val="24"/>
          <w:szCs w:val="24"/>
          <w:rtl/>
        </w:rPr>
        <w:t xml:space="preserve"> </w:t>
      </w:r>
      <w:r w:rsidRPr="007344F2">
        <w:rPr>
          <w:rFonts w:ascii="David" w:hAnsi="David" w:cs="David" w:hint="cs"/>
          <w:sz w:val="24"/>
          <w:szCs w:val="24"/>
          <w:rtl/>
        </w:rPr>
        <w:t xml:space="preserve">כי אלמלא היה הנאשם קטין בעת ביצוע העבירות ולולא בחר להודות במיוחס לו, היה מקום לגזור עליו עונש חמור בהרבה, נוכח חומרת המעשים והעובדה שכחוט השערה היה בין מעשיו של הנאשם לבין התוצאה הקטלנית אותה ניסה להשיג.     </w:t>
      </w:r>
      <w:r>
        <w:rPr>
          <w:rFonts w:ascii="David" w:hAnsi="David" w:cs="David" w:hint="cs"/>
          <w:sz w:val="24"/>
          <w:szCs w:val="24"/>
          <w:rtl/>
        </w:rPr>
        <w:t xml:space="preserve">גזר הדין כלל פניה ישירה של ביהמ"ש אל </w:t>
      </w:r>
      <w:r w:rsidRPr="00B67525">
        <w:rPr>
          <w:rFonts w:ascii="David" w:hAnsi="David" w:cs="David" w:hint="cs"/>
          <w:sz w:val="24"/>
          <w:szCs w:val="24"/>
          <w:rtl/>
        </w:rPr>
        <w:t>נפגע העבירה ואל בני משפחתו</w:t>
      </w:r>
      <w:r>
        <w:rPr>
          <w:rFonts w:ascii="David" w:hAnsi="David" w:cs="David" w:hint="cs"/>
          <w:sz w:val="24"/>
          <w:szCs w:val="24"/>
          <w:rtl/>
        </w:rPr>
        <w:t>, תוך הכרה ב</w:t>
      </w:r>
      <w:r w:rsidRPr="00B67525">
        <w:rPr>
          <w:rFonts w:ascii="David" w:hAnsi="David" w:cs="David" w:hint="cs"/>
          <w:sz w:val="24"/>
          <w:szCs w:val="24"/>
          <w:rtl/>
        </w:rPr>
        <w:t>כאבם ו</w:t>
      </w:r>
      <w:r>
        <w:rPr>
          <w:rFonts w:ascii="David" w:hAnsi="David" w:cs="David" w:hint="cs"/>
          <w:sz w:val="24"/>
          <w:szCs w:val="24"/>
          <w:rtl/>
        </w:rPr>
        <w:t>ב</w:t>
      </w:r>
      <w:r w:rsidRPr="00B67525">
        <w:rPr>
          <w:rFonts w:ascii="David" w:hAnsi="David" w:cs="David" w:hint="cs"/>
          <w:sz w:val="24"/>
          <w:szCs w:val="24"/>
          <w:rtl/>
        </w:rPr>
        <w:t xml:space="preserve">קשיים העצומים עמם </w:t>
      </w:r>
      <w:r>
        <w:rPr>
          <w:rFonts w:ascii="David" w:hAnsi="David" w:cs="David" w:hint="cs"/>
          <w:sz w:val="24"/>
          <w:szCs w:val="24"/>
          <w:rtl/>
        </w:rPr>
        <w:t>הם</w:t>
      </w:r>
      <w:r w:rsidRPr="00B67525">
        <w:rPr>
          <w:rFonts w:ascii="David" w:hAnsi="David" w:cs="David" w:hint="cs"/>
          <w:sz w:val="24"/>
          <w:szCs w:val="24"/>
          <w:rtl/>
        </w:rPr>
        <w:t xml:space="preserve"> נאלצים להתמודד</w:t>
      </w:r>
      <w:r>
        <w:rPr>
          <w:rFonts w:ascii="David" w:hAnsi="David" w:cs="David" w:hint="cs"/>
          <w:sz w:val="24"/>
          <w:szCs w:val="24"/>
          <w:rtl/>
        </w:rPr>
        <w:t xml:space="preserve"> ותוך הבעת תקווה </w:t>
      </w:r>
      <w:r w:rsidRPr="00B67525">
        <w:rPr>
          <w:rFonts w:ascii="David" w:hAnsi="David" w:cs="David" w:hint="cs"/>
          <w:sz w:val="24"/>
          <w:szCs w:val="24"/>
          <w:rtl/>
        </w:rPr>
        <w:t xml:space="preserve">שעם סיום ההליך הפלילי יוכל </w:t>
      </w:r>
      <w:r>
        <w:rPr>
          <w:rFonts w:ascii="David" w:hAnsi="David" w:cs="David" w:hint="cs"/>
          <w:sz w:val="24"/>
          <w:szCs w:val="24"/>
          <w:rtl/>
        </w:rPr>
        <w:t xml:space="preserve">הקורבן </w:t>
      </w:r>
      <w:r w:rsidRPr="00B67525">
        <w:rPr>
          <w:rFonts w:ascii="David" w:hAnsi="David" w:cs="David" w:hint="cs"/>
          <w:sz w:val="24"/>
          <w:szCs w:val="24"/>
          <w:rtl/>
        </w:rPr>
        <w:lastRenderedPageBreak/>
        <w:t xml:space="preserve">להמשיך ולרכז את המאמצים בשיקום ובהתקדמות האישית, ימצא שוב את מקומו החברתי הראוי ויחזור להאמין כי לצד הקשיים טומן העתיד עבורו גם אור ותקווה.    </w:t>
      </w:r>
    </w:p>
    <w:p w:rsidR="000E0440" w:rsidRDefault="000E0440" w:rsidP="00166538">
      <w:pPr>
        <w:spacing w:after="0" w:line="360" w:lineRule="auto"/>
        <w:jc w:val="both"/>
        <w:rPr>
          <w:rFonts w:ascii="David" w:hAnsi="David" w:cs="David"/>
          <w:sz w:val="24"/>
          <w:szCs w:val="24"/>
          <w:rtl/>
        </w:rPr>
      </w:pPr>
    </w:p>
    <w:p w:rsidR="000E0440" w:rsidRDefault="000E0440" w:rsidP="00166538">
      <w:pPr>
        <w:spacing w:after="0" w:line="360" w:lineRule="auto"/>
        <w:jc w:val="both"/>
        <w:rPr>
          <w:rFonts w:ascii="David" w:hAnsi="David" w:cs="David"/>
          <w:sz w:val="24"/>
          <w:szCs w:val="24"/>
          <w:rtl/>
        </w:rPr>
      </w:pPr>
      <w:r>
        <w:rPr>
          <w:rFonts w:ascii="David" w:hAnsi="David" w:cs="David" w:hint="cs"/>
          <w:sz w:val="24"/>
          <w:szCs w:val="24"/>
          <w:rtl/>
        </w:rPr>
        <w:t xml:space="preserve">ביחס לשותפו של הנאשם לאירוע, אשר לא פגע פיזית בקורבן אלא זרק אבן לעבר מקום בו שהה הקורבן רק אחרי שהקורבן עזב אותו, כיבד ביהמ"ש </w:t>
      </w:r>
      <w:r w:rsidRPr="007344F2">
        <w:rPr>
          <w:rFonts w:ascii="David" w:hAnsi="David" w:cs="David" w:hint="cs"/>
          <w:sz w:val="24"/>
          <w:szCs w:val="24"/>
          <w:rtl/>
        </w:rPr>
        <w:t xml:space="preserve">הסדר טיעון "סגור" </w:t>
      </w:r>
      <w:r>
        <w:rPr>
          <w:rFonts w:ascii="David" w:hAnsi="David" w:cs="David" w:hint="cs"/>
          <w:sz w:val="24"/>
          <w:szCs w:val="24"/>
          <w:rtl/>
        </w:rPr>
        <w:t>בין הצדדים, במסגרתו התבקש ביהמ"ש להטיל על אותו שותף, קטין בעת ביצוע העבירות, עונש כולל של 3 שנות מאסר בפועל, לצד מאסר ומותנה ופיצוי לקורבן העבירה.</w:t>
      </w:r>
    </w:p>
    <w:p w:rsidR="000E0440" w:rsidRPr="00B67525" w:rsidRDefault="000E0440" w:rsidP="000E0440">
      <w:pPr>
        <w:spacing w:line="360" w:lineRule="auto"/>
        <w:jc w:val="both"/>
        <w:rPr>
          <w:rFonts w:ascii="David" w:hAnsi="David" w:cs="David"/>
          <w:sz w:val="24"/>
          <w:szCs w:val="24"/>
          <w:rtl/>
        </w:rPr>
      </w:pPr>
    </w:p>
    <w:p w:rsidR="000E0440" w:rsidRPr="007344F2" w:rsidRDefault="000E0440" w:rsidP="000E0440">
      <w:pPr>
        <w:spacing w:line="360" w:lineRule="auto"/>
        <w:jc w:val="both"/>
        <w:rPr>
          <w:rFonts w:ascii="David" w:hAnsi="David" w:cs="David"/>
          <w:sz w:val="24"/>
          <w:szCs w:val="24"/>
          <w:rtl/>
        </w:rPr>
      </w:pPr>
    </w:p>
    <w:p w:rsidR="00EA6DF3" w:rsidRDefault="00EA6DF3" w:rsidP="00EA6DF3">
      <w:pPr>
        <w:spacing w:after="120" w:line="360" w:lineRule="auto"/>
        <w:jc w:val="both"/>
        <w:rPr>
          <w:rFonts w:ascii="FrankRuehl" w:hAnsi="FrankRuehl" w:cs="FrankRuehl"/>
          <w:color w:val="323E4F" w:themeColor="text2" w:themeShade="BF"/>
          <w:sz w:val="26"/>
          <w:szCs w:val="26"/>
        </w:rPr>
      </w:pP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Pr="000071E5" w:rsidRDefault="00EA6DF3" w:rsidP="000E0440">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lastRenderedPageBreak/>
        <w:t xml:space="preserve">*** </w:t>
      </w:r>
      <w:r w:rsidRPr="000071E5">
        <w:rPr>
          <w:rFonts w:ascii="FrankRuehl" w:hAnsi="FrankRuehl" w:cs="FrankRuehl"/>
          <w:b/>
          <w:bCs/>
          <w:color w:val="002060"/>
          <w:sz w:val="26"/>
          <w:szCs w:val="26"/>
          <w:rtl/>
        </w:rPr>
        <w:t xml:space="preserve">התקציר אינו בא להחליף את </w:t>
      </w:r>
      <w:r w:rsidR="000E0440">
        <w:rPr>
          <w:rFonts w:ascii="FrankRuehl" w:hAnsi="FrankRuehl" w:cs="FrankRuehl" w:hint="cs"/>
          <w:b/>
          <w:bCs/>
          <w:color w:val="002060"/>
          <w:sz w:val="26"/>
          <w:szCs w:val="26"/>
          <w:rtl/>
        </w:rPr>
        <w:t>גזר</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 xml:space="preserve">הדין, הנוסח המחייב הוא זה של </w:t>
      </w:r>
      <w:r w:rsidR="000E0440">
        <w:rPr>
          <w:rFonts w:ascii="FrankRuehl" w:hAnsi="FrankRuehl" w:cs="FrankRuehl" w:hint="cs"/>
          <w:b/>
          <w:bCs/>
          <w:color w:val="002060"/>
          <w:sz w:val="26"/>
          <w:szCs w:val="26"/>
          <w:rtl/>
        </w:rPr>
        <w:t>גזר</w:t>
      </w:r>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p w:rsidR="00515986" w:rsidRPr="00EA6DF3"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CAB" w:rsidRDefault="007F6CAB" w:rsidP="00730CA1">
      <w:pPr>
        <w:spacing w:after="0" w:line="240" w:lineRule="auto"/>
      </w:pPr>
      <w:r>
        <w:separator/>
      </w:r>
    </w:p>
  </w:endnote>
  <w:endnote w:type="continuationSeparator" w:id="0">
    <w:p w:rsidR="007F6CAB" w:rsidRDefault="007F6CAB"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בית משפט העליון | דרך השופט מאיר שמגר 1 | קרית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CAB" w:rsidRDefault="007F6CAB" w:rsidP="00730CA1">
      <w:pPr>
        <w:spacing w:after="0" w:line="240" w:lineRule="auto"/>
      </w:pPr>
      <w:r>
        <w:separator/>
      </w:r>
    </w:p>
  </w:footnote>
  <w:footnote w:type="continuationSeparator" w:id="0">
    <w:p w:rsidR="007F6CAB" w:rsidRDefault="007F6CAB"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0E0440"/>
    <w:rsid w:val="00166538"/>
    <w:rsid w:val="001D42A7"/>
    <w:rsid w:val="002453CF"/>
    <w:rsid w:val="002C0E83"/>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7F6CAB"/>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2271B"/>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41529F2F-C9B1-493D-8132-D6D7816B9F8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601</Words>
  <Characters>3009</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2024-09-29T14:21:00Z</dcterms:created>
  <dcterms:modified xsi:type="dcterms:W3CDTF">2024-09-29T14:21:00Z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24 בספטמבר 2024</vt:lpwstr>
  </property>
  <property fmtid="{D5CDD505-2E9C-101B-9397-08002B2CF9AE}" pid="3" name="DocDateHeb">
    <vt:lpwstr>כ"א באלול תשפ"ד</vt:lpwstr>
  </property>
  <property fmtid="{D5CDD505-2E9C-101B-9397-08002B2CF9AE}" pid="4" name="DocNumber">
    <vt:lpwstr>4700-1039-2024-007179</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גזר דין תפח"ע 4070-01-23</vt:lpwstr>
  </property>
</Properties>
</file>